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CE67E" w14:textId="77777777" w:rsidR="00285167" w:rsidRPr="00FA63C8" w:rsidRDefault="00787AE1">
      <w:pPr>
        <w:rPr>
          <w:b/>
        </w:rPr>
      </w:pPr>
      <w:r w:rsidRPr="00FA63C8">
        <w:rPr>
          <w:b/>
        </w:rPr>
        <w:t>Analysis of Rota Proposals</w:t>
      </w:r>
    </w:p>
    <w:p w14:paraId="5CF36ACE" w14:textId="77777777" w:rsidR="00012382" w:rsidRPr="00FA63C8" w:rsidRDefault="00012382">
      <w:pPr>
        <w:rPr>
          <w:b/>
        </w:rPr>
      </w:pPr>
      <w:r w:rsidRPr="00FA63C8">
        <w:rPr>
          <w:b/>
        </w:rPr>
        <w:t>Introduction</w:t>
      </w:r>
    </w:p>
    <w:p w14:paraId="01554492" w14:textId="77777777" w:rsidR="00787AE1" w:rsidRDefault="00787AE1">
      <w:r>
        <w:t>Article 30 of the 3GPP working procedures states that “Meeting locations should reflect the geographical diversity of the TSG and WG delegates”.  As part of the hosting investigation, the principles behind “fair” meeting rotation are being re-examined.</w:t>
      </w:r>
    </w:p>
    <w:p w14:paraId="3F343F73" w14:textId="77777777" w:rsidR="00787AE1" w:rsidRDefault="00787AE1">
      <w:r>
        <w:t>Two rotation principles have been proposed.  These are:</w:t>
      </w:r>
    </w:p>
    <w:p w14:paraId="5272F146" w14:textId="77777777" w:rsidR="00787AE1" w:rsidRDefault="00787AE1" w:rsidP="00787AE1">
      <w:pPr>
        <w:pStyle w:val="ListParagraph"/>
        <w:numPr>
          <w:ilvl w:val="0"/>
          <w:numId w:val="1"/>
        </w:numPr>
      </w:pPr>
      <w:r>
        <w:t>Rota 1 (the current approach) which applies a rotation of 1/3 NA, 1/3 EU, 1/3 Asia to all meetings, and</w:t>
      </w:r>
    </w:p>
    <w:p w14:paraId="1E9EEF36" w14:textId="77777777" w:rsidR="00787AE1" w:rsidRDefault="00787AE1" w:rsidP="00787AE1">
      <w:pPr>
        <w:pStyle w:val="ListParagraph"/>
        <w:numPr>
          <w:ilvl w:val="0"/>
          <w:numId w:val="1"/>
        </w:numPr>
      </w:pPr>
      <w:r>
        <w:t>Rota 2 which applies a rotation of 1/3, 1/3, 1/3 to those groups with 6 meetings/year and 1/4 NA, 1/4 EU, 1/4 CN, 1/4 rest of Asia</w:t>
      </w:r>
    </w:p>
    <w:p w14:paraId="524BA9DB" w14:textId="77777777" w:rsidR="00787AE1" w:rsidRDefault="00787AE1" w:rsidP="00787AE1">
      <w:r>
        <w:t xml:space="preserve">3GPP currently has 5 groups that meet </w:t>
      </w:r>
      <w:r w:rsidR="00012382">
        <w:t>4 times/year (CT, RAN, RAN5, SA, SA1, SA3).  The remaining groups meet 6 times a year with minor variations for ad-</w:t>
      </w:r>
      <w:proofErr w:type="spellStart"/>
      <w:r w:rsidR="00012382">
        <w:t>hocs</w:t>
      </w:r>
      <w:proofErr w:type="spellEnd"/>
      <w:r w:rsidR="00012382">
        <w:t>, deleted meetings, etc.  SA3-LI is counted as one of these groups since it meets separately from SA3.</w:t>
      </w:r>
    </w:p>
    <w:p w14:paraId="3BC01C16" w14:textId="77777777" w:rsidR="00012382" w:rsidRDefault="00012382" w:rsidP="00787AE1">
      <w:r>
        <w:t>The chart below gives:</w:t>
      </w:r>
    </w:p>
    <w:p w14:paraId="5402568D" w14:textId="77777777" w:rsidR="00012382" w:rsidRDefault="00012382" w:rsidP="00012382">
      <w:pPr>
        <w:pStyle w:val="ListParagraph"/>
        <w:numPr>
          <w:ilvl w:val="0"/>
          <w:numId w:val="1"/>
        </w:numPr>
      </w:pPr>
      <w:r>
        <w:t>the delegate distribution (the target)</w:t>
      </w:r>
    </w:p>
    <w:p w14:paraId="78BF41E6" w14:textId="77777777" w:rsidR="00012382" w:rsidRDefault="00012382" w:rsidP="00012382">
      <w:pPr>
        <w:pStyle w:val="ListParagraph"/>
        <w:numPr>
          <w:ilvl w:val="0"/>
          <w:numId w:val="1"/>
        </w:numPr>
      </w:pPr>
      <w:r>
        <w:t>what is currently planned for 2020 (only 2 meetings did not have announced locations yet)</w:t>
      </w:r>
    </w:p>
    <w:p w14:paraId="5C501D39" w14:textId="77777777" w:rsidR="00012382" w:rsidRDefault="00012382" w:rsidP="00012382">
      <w:pPr>
        <w:pStyle w:val="ListParagraph"/>
        <w:numPr>
          <w:ilvl w:val="0"/>
          <w:numId w:val="1"/>
        </w:numPr>
      </w:pPr>
      <w:r>
        <w:t xml:space="preserve">the meeting distribution under </w:t>
      </w:r>
      <w:proofErr w:type="spellStart"/>
      <w:r>
        <w:t>rota</w:t>
      </w:r>
      <w:proofErr w:type="spellEnd"/>
      <w:r>
        <w:t xml:space="preserve"> 1</w:t>
      </w:r>
    </w:p>
    <w:p w14:paraId="087DF98A" w14:textId="77777777" w:rsidR="0068179B" w:rsidRDefault="00012382" w:rsidP="00012382">
      <w:pPr>
        <w:pStyle w:val="ListParagraph"/>
        <w:numPr>
          <w:ilvl w:val="0"/>
          <w:numId w:val="1"/>
        </w:numPr>
      </w:pPr>
      <w:r>
        <w:t xml:space="preserve">the meeting distribution under </w:t>
      </w:r>
      <w:proofErr w:type="spellStart"/>
      <w:r>
        <w:t>rota</w:t>
      </w:r>
      <w:proofErr w:type="spellEnd"/>
      <w:r>
        <w:t xml:space="preserve"> 2</w:t>
      </w:r>
    </w:p>
    <w:p w14:paraId="63DAD0D6" w14:textId="77777777" w:rsidR="0068179B" w:rsidRDefault="0068179B"/>
    <w:p w14:paraId="5C8A9A4D" w14:textId="77777777" w:rsidR="0068179B" w:rsidRDefault="0068179B">
      <w:r>
        <w:rPr>
          <w:noProof/>
        </w:rPr>
        <w:drawing>
          <wp:inline distT="0" distB="0" distL="0" distR="0" wp14:anchorId="17360763" wp14:editId="0EC612B8">
            <wp:extent cx="4572000" cy="2743200"/>
            <wp:effectExtent l="0" t="0" r="0" b="0"/>
            <wp:docPr id="1" name="Chart 1">
              <a:extLst xmlns:a="http://schemas.openxmlformats.org/drawingml/2006/main">
                <a:ext uri="{FF2B5EF4-FFF2-40B4-BE49-F238E27FC236}">
                  <a16:creationId xmlns:a16="http://schemas.microsoft.com/office/drawing/2014/main" id="{D0128F1B-58C1-43DA-BC2E-B35D284B4C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C4E5FC7" w14:textId="7D2EE38D" w:rsidR="0068179B" w:rsidRDefault="003B17BB">
      <w:r>
        <w:t xml:space="preserve">Note that the difference between Rota 1 and Rota 2 is </w:t>
      </w:r>
      <w:proofErr w:type="gramStart"/>
      <w:r>
        <w:t>pretty small</w:t>
      </w:r>
      <w:proofErr w:type="gramEnd"/>
      <w:r>
        <w:t>.</w:t>
      </w:r>
    </w:p>
    <w:p w14:paraId="75BD2D08" w14:textId="77777777" w:rsidR="00012382" w:rsidRDefault="00FA63C8" w:rsidP="00012382">
      <w:r>
        <w:t>However, just looking at meeting distribution is</w:t>
      </w:r>
      <w:r w:rsidR="00012382">
        <w:t xml:space="preserve"> misleading, because what is important is the delegate distribution, not the meeting distribution.  Looking at the 2020 planning and the historical meeting distribution, it is important to note that:</w:t>
      </w:r>
    </w:p>
    <w:p w14:paraId="757580A4" w14:textId="77777777" w:rsidR="00012382" w:rsidRDefault="00012382" w:rsidP="00012382">
      <w:pPr>
        <w:pStyle w:val="ListParagraph"/>
        <w:numPr>
          <w:ilvl w:val="0"/>
          <w:numId w:val="1"/>
        </w:numPr>
      </w:pPr>
      <w:r>
        <w:lastRenderedPageBreak/>
        <w:t>SA and CT meeting locations tend to have an EU bias, but they also have a higher proportion of EU delegates</w:t>
      </w:r>
    </w:p>
    <w:p w14:paraId="37D513C8" w14:textId="77777777" w:rsidR="00012382" w:rsidRDefault="00012382" w:rsidP="00012382">
      <w:pPr>
        <w:pStyle w:val="ListParagraph"/>
        <w:numPr>
          <w:ilvl w:val="0"/>
          <w:numId w:val="1"/>
        </w:numPr>
      </w:pPr>
      <w:r>
        <w:t>RAN meeting locations tend to have an Asia</w:t>
      </w:r>
      <w:r w:rsidR="00FA63C8">
        <w:t>n</w:t>
      </w:r>
      <w:r>
        <w:t xml:space="preserve"> bias, but they also have a higher proportion of Asian delegates</w:t>
      </w:r>
    </w:p>
    <w:p w14:paraId="0464B168" w14:textId="77777777" w:rsidR="00012382" w:rsidRDefault="00012382" w:rsidP="00012382">
      <w:pPr>
        <w:pStyle w:val="ListParagraph"/>
        <w:numPr>
          <w:ilvl w:val="0"/>
          <w:numId w:val="1"/>
        </w:numPr>
      </w:pPr>
      <w:r>
        <w:t>Some of the RAN groups are bigger than all of CT or SA combined.</w:t>
      </w:r>
    </w:p>
    <w:p w14:paraId="25F69CC7" w14:textId="734501FE" w:rsidR="00012382" w:rsidRDefault="00012382" w:rsidP="00012382">
      <w:r>
        <w:t xml:space="preserve">When the sizes of the different groups are considered, a different picture emerges.  The group sizes were based on their last meeting in 2019.  To understand why it is different, consider that </w:t>
      </w:r>
      <w:r w:rsidR="003B17BB">
        <w:t>locating</w:t>
      </w:r>
      <w:r>
        <w:t xml:space="preserve"> a RAN1 meeting in Asia has a much bigger </w:t>
      </w:r>
      <w:r w:rsidR="00D7052E">
        <w:t>travel impact</w:t>
      </w:r>
      <w:r>
        <w:t xml:space="preserve"> </w:t>
      </w:r>
      <w:r w:rsidR="003B17BB">
        <w:t xml:space="preserve">on delegates </w:t>
      </w:r>
      <w:r>
        <w:t xml:space="preserve">than having a </w:t>
      </w:r>
      <w:r w:rsidR="000211AC">
        <w:t>CT6</w:t>
      </w:r>
      <w:r w:rsidR="00EC701A">
        <w:t xml:space="preserve"> meeting in North America</w:t>
      </w:r>
      <w:r w:rsidR="003B17BB">
        <w:t xml:space="preserve"> because it </w:t>
      </w:r>
      <w:r w:rsidR="00C911A8">
        <w:t>has</w:t>
      </w:r>
      <w:r w:rsidR="003B17BB">
        <w:t xml:space="preserve"> </w:t>
      </w:r>
      <w:r w:rsidR="000211AC">
        <w:t>2</w:t>
      </w:r>
      <w:r w:rsidR="003B17BB">
        <w:t>0 times as many delegates</w:t>
      </w:r>
      <w:r w:rsidR="00EC701A">
        <w:t>.</w:t>
      </w:r>
    </w:p>
    <w:p w14:paraId="00E94867" w14:textId="77777777" w:rsidR="0068179B" w:rsidRDefault="00787AE1">
      <w:r>
        <w:rPr>
          <w:noProof/>
        </w:rPr>
        <w:drawing>
          <wp:inline distT="0" distB="0" distL="0" distR="0" wp14:anchorId="5FC8E7B2" wp14:editId="396D831D">
            <wp:extent cx="4572000" cy="2743200"/>
            <wp:effectExtent l="0" t="0" r="0" b="0"/>
            <wp:docPr id="2" name="Chart 2">
              <a:extLst xmlns:a="http://schemas.openxmlformats.org/drawingml/2006/main">
                <a:ext uri="{FF2B5EF4-FFF2-40B4-BE49-F238E27FC236}">
                  <a16:creationId xmlns:a16="http://schemas.microsoft.com/office/drawing/2014/main" id="{AC81DB3A-232F-4D58-B459-055AB9B2FD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454F484" w14:textId="0486DF93" w:rsidR="00150D65" w:rsidRDefault="00EC701A" w:rsidP="00150D65">
      <w:r>
        <w:t>Factoring in the group sizes, you can see that the current approach produces a closer alignment to the actual delegate distribution than either of the 2 proposed rotations.</w:t>
      </w:r>
      <w:r w:rsidR="00735DD9">
        <w:t xml:space="preserve">  </w:t>
      </w:r>
      <w:r w:rsidR="00150D65">
        <w:t xml:space="preserve">The chart below shows the deviation of each of the above </w:t>
      </w:r>
      <w:r w:rsidR="00684E09">
        <w:t>distributions</w:t>
      </w:r>
      <w:r w:rsidR="00150D65">
        <w:t xml:space="preserve"> from the actual delegate distribution.</w:t>
      </w:r>
      <w:r w:rsidR="00CF0EFC" w:rsidRPr="00CF0EFC">
        <w:t xml:space="preserve"> </w:t>
      </w:r>
    </w:p>
    <w:p w14:paraId="0A353610" w14:textId="69C2793F" w:rsidR="00150D65" w:rsidRDefault="00560F91" w:rsidP="00150D65">
      <w:r>
        <w:rPr>
          <w:noProof/>
        </w:rPr>
        <w:drawing>
          <wp:inline distT="0" distB="0" distL="0" distR="0" wp14:anchorId="64B24771" wp14:editId="266BA6EC">
            <wp:extent cx="4572000" cy="2743200"/>
            <wp:effectExtent l="0" t="0" r="0" b="0"/>
            <wp:docPr id="7" name="Chart 7">
              <a:extLst xmlns:a="http://schemas.openxmlformats.org/drawingml/2006/main">
                <a:ext uri="{FF2B5EF4-FFF2-40B4-BE49-F238E27FC236}">
                  <a16:creationId xmlns:a16="http://schemas.microsoft.com/office/drawing/2014/main" id="{E7DFD3C7-5B65-4D6B-858D-3E6B6DC8EE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B815D47" w14:textId="6A89D248" w:rsidR="006E6D47" w:rsidRDefault="006E6D47" w:rsidP="00150D65"/>
    <w:p w14:paraId="783877E5" w14:textId="7D2D2779" w:rsidR="009D3971" w:rsidRPr="00D7052E" w:rsidRDefault="00EC701A">
      <w:pPr>
        <w:rPr>
          <w:b/>
        </w:rPr>
      </w:pPr>
      <w:r w:rsidRPr="00D7052E">
        <w:rPr>
          <w:b/>
        </w:rPr>
        <w:t>Conclusions</w:t>
      </w:r>
    </w:p>
    <w:p w14:paraId="2F02C530" w14:textId="77777777" w:rsidR="00EC701A" w:rsidRDefault="00EC701A">
      <w:r>
        <w:t>The current approach is to have a loose principle of a 1/3, 1/3, 1/3 rotation, but allow the chairman considerable latitude from the principle to match the meeting locations with the delegate distributions of his or her group.  The 1/3, 1/3, 1/3 principle acts primarily as a backstop to prevent “starving” any region.  This seems to provide better alignment with where the delegates come from than any centralized planning approach or having a rigid rotation.</w:t>
      </w:r>
    </w:p>
    <w:p w14:paraId="18538115" w14:textId="77777777" w:rsidR="00EC701A" w:rsidRPr="00D7052E" w:rsidRDefault="00EC701A">
      <w:pPr>
        <w:rPr>
          <w:b/>
        </w:rPr>
      </w:pPr>
      <w:r w:rsidRPr="00D7052E">
        <w:rPr>
          <w:b/>
        </w:rPr>
        <w:t>Recommendation</w:t>
      </w:r>
    </w:p>
    <w:p w14:paraId="568BB069" w14:textId="2A3E210B" w:rsidR="00EC701A" w:rsidRDefault="00EC701A">
      <w:r>
        <w:t xml:space="preserve">Stop discussing the </w:t>
      </w:r>
      <w:proofErr w:type="spellStart"/>
      <w:proofErr w:type="gramStart"/>
      <w:r>
        <w:t>rota</w:t>
      </w:r>
      <w:proofErr w:type="spellEnd"/>
      <w:r>
        <w:t>, and</w:t>
      </w:r>
      <w:proofErr w:type="gramEnd"/>
      <w:r>
        <w:t xml:space="preserve"> continue with the existing approach.</w:t>
      </w:r>
      <w:r w:rsidR="00FA63C8">
        <w:t xml:space="preserve">  To match the needs of a group, the chair needs </w:t>
      </w:r>
      <w:r w:rsidR="00D7052E">
        <w:t xml:space="preserve">the </w:t>
      </w:r>
      <w:r w:rsidR="00FA63C8">
        <w:t>latitude to select appropriate venues, so the principles should be guidelines.  If they are guidelines, it doesn’t really matter if they are 33% of 31%.  Publishing new rotation principles would likely just cause confusion.  As has been mentioned earlier, the issue is improving the quality of meetings for delegates and the current discussion does not seem to be furthering that goal.</w:t>
      </w:r>
      <w:bookmarkStart w:id="0" w:name="_GoBack"/>
    </w:p>
    <w:p w14:paraId="2C86762B" w14:textId="635A4B65" w:rsidR="004B5F28" w:rsidRDefault="004B5F28">
      <w:r>
        <w:t>It is difficult to optimize something that is not measured, so it may be useful to produce a yearly report of where the meetings are located so that the delegate travel balance can be assessed.  This can be used to provide gentle pressure to the selection process to push the meeting ratio closer to optimum.</w:t>
      </w:r>
      <w:bookmarkEnd w:id="0"/>
    </w:p>
    <w:p w14:paraId="47FB854F" w14:textId="77777777" w:rsidR="00FA63C8" w:rsidRDefault="00FA63C8">
      <w:r>
        <w:t xml:space="preserve">They may be improvements that can be made to address the geopolitical situation.  Proposals have been made for not meeting twice in the same country each year or having a </w:t>
      </w:r>
      <w:proofErr w:type="gramStart"/>
      <w:r>
        <w:t>6 month</w:t>
      </w:r>
      <w:proofErr w:type="gramEnd"/>
      <w:r>
        <w:t xml:space="preserve"> gap between meetings in a country.  These can be discussed separately from the rotation.  If they are agreed, then the chairs can easily consider these aspects when doing the meeting planning.</w:t>
      </w:r>
    </w:p>
    <w:sectPr w:rsidR="00FA63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ED2EE1"/>
    <w:multiLevelType w:val="hybridMultilevel"/>
    <w:tmpl w:val="71A2B1BE"/>
    <w:lvl w:ilvl="0" w:tplc="380EE164">
      <w:start w:val="3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NotTrackMoves/>
  <w:doNotTrackFormatting/>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79B"/>
    <w:rsid w:val="00012382"/>
    <w:rsid w:val="000211AC"/>
    <w:rsid w:val="00150D65"/>
    <w:rsid w:val="00285167"/>
    <w:rsid w:val="003337B7"/>
    <w:rsid w:val="003B17BB"/>
    <w:rsid w:val="003D62DB"/>
    <w:rsid w:val="004B5F28"/>
    <w:rsid w:val="0055367D"/>
    <w:rsid w:val="00560F91"/>
    <w:rsid w:val="00675A53"/>
    <w:rsid w:val="0068179B"/>
    <w:rsid w:val="00684E09"/>
    <w:rsid w:val="006E6D47"/>
    <w:rsid w:val="007037C2"/>
    <w:rsid w:val="00726FD6"/>
    <w:rsid w:val="00735DD9"/>
    <w:rsid w:val="00787AE1"/>
    <w:rsid w:val="007F37CB"/>
    <w:rsid w:val="00822F01"/>
    <w:rsid w:val="00830467"/>
    <w:rsid w:val="008C7D60"/>
    <w:rsid w:val="0097343C"/>
    <w:rsid w:val="009D3971"/>
    <w:rsid w:val="009F4E44"/>
    <w:rsid w:val="00A61543"/>
    <w:rsid w:val="00B90983"/>
    <w:rsid w:val="00C46025"/>
    <w:rsid w:val="00C46D79"/>
    <w:rsid w:val="00C911A8"/>
    <w:rsid w:val="00CF0EFC"/>
    <w:rsid w:val="00D11FEF"/>
    <w:rsid w:val="00D7052E"/>
    <w:rsid w:val="00DA7FC8"/>
    <w:rsid w:val="00EC701A"/>
    <w:rsid w:val="00FA3F2F"/>
    <w:rsid w:val="00FA6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C401B"/>
  <w15:chartTrackingRefBased/>
  <w15:docId w15:val="{19E0D9CB-131B-4EA0-8937-FBDBFFF9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17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79B"/>
    <w:rPr>
      <w:rFonts w:ascii="Segoe UI" w:hAnsi="Segoe UI" w:cs="Segoe UI"/>
      <w:sz w:val="18"/>
      <w:szCs w:val="18"/>
    </w:rPr>
  </w:style>
  <w:style w:type="paragraph" w:styleId="ListParagraph">
    <w:name w:val="List Paragraph"/>
    <w:basedOn w:val="Normal"/>
    <w:uiPriority w:val="34"/>
    <w:qFormat/>
    <w:rsid w:val="00787AE1"/>
    <w:pPr>
      <w:ind w:left="720"/>
      <w:contextualSpacing/>
    </w:pPr>
  </w:style>
  <w:style w:type="paragraph" w:styleId="Revision">
    <w:name w:val="Revision"/>
    <w:hidden/>
    <w:uiPriority w:val="99"/>
    <w:semiHidden/>
    <w:rsid w:val="008304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chart" Target="charts/chart3.xml"/><Relationship Id="rId4" Type="http://schemas.openxmlformats.org/officeDocument/2006/relationships/numbering" Target="numbering.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a:t>Meeting Distribution</a:t>
            </a: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Sheet1!$B$1</c:f>
              <c:strCache>
                <c:ptCount val="1"/>
                <c:pt idx="0">
                  <c:v>NA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Actual Delegate Distribution</c:v>
                </c:pt>
                <c:pt idx="1">
                  <c:v>Planned Meeting Distribution 2020</c:v>
                </c:pt>
                <c:pt idx="2">
                  <c:v>Rota 1 (1/3, 1/3)</c:v>
                </c:pt>
                <c:pt idx="3">
                  <c:v>Rota 2 (1/3, 1/4)</c:v>
                </c:pt>
              </c:strCache>
            </c:strRef>
          </c:cat>
          <c:val>
            <c:numRef>
              <c:f>Sheet1!$B$2:$B$5</c:f>
              <c:numCache>
                <c:formatCode>General</c:formatCode>
                <c:ptCount val="4"/>
                <c:pt idx="0">
                  <c:v>21.7</c:v>
                </c:pt>
                <c:pt idx="1">
                  <c:v>24.2</c:v>
                </c:pt>
                <c:pt idx="2">
                  <c:v>33.299999999999997</c:v>
                </c:pt>
                <c:pt idx="3">
                  <c:v>31.4</c:v>
                </c:pt>
              </c:numCache>
            </c:numRef>
          </c:val>
          <c:extLst>
            <c:ext xmlns:c16="http://schemas.microsoft.com/office/drawing/2014/chart" uri="{C3380CC4-5D6E-409C-BE32-E72D297353CC}">
              <c16:uniqueId val="{00000000-38B9-4C8A-B1C6-0BBB9540EEA3}"/>
            </c:ext>
          </c:extLst>
        </c:ser>
        <c:ser>
          <c:idx val="1"/>
          <c:order val="1"/>
          <c:tx>
            <c:strRef>
              <c:f>Sheet1!$C$1</c:f>
              <c:strCache>
                <c:ptCount val="1"/>
                <c:pt idx="0">
                  <c:v>EU</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Actual Delegate Distribution</c:v>
                </c:pt>
                <c:pt idx="1">
                  <c:v>Planned Meeting Distribution 2020</c:v>
                </c:pt>
                <c:pt idx="2">
                  <c:v>Rota 1 (1/3, 1/3)</c:v>
                </c:pt>
                <c:pt idx="3">
                  <c:v>Rota 2 (1/3, 1/4)</c:v>
                </c:pt>
              </c:strCache>
            </c:strRef>
          </c:cat>
          <c:val>
            <c:numRef>
              <c:f>Sheet1!$C$2:$C$5</c:f>
              <c:numCache>
                <c:formatCode>General</c:formatCode>
                <c:ptCount val="4"/>
                <c:pt idx="0">
                  <c:v>34.299999999999997</c:v>
                </c:pt>
                <c:pt idx="1">
                  <c:v>42.4</c:v>
                </c:pt>
                <c:pt idx="2">
                  <c:v>33.299999999999997</c:v>
                </c:pt>
                <c:pt idx="3">
                  <c:v>31.4</c:v>
                </c:pt>
              </c:numCache>
            </c:numRef>
          </c:val>
          <c:extLst>
            <c:ext xmlns:c16="http://schemas.microsoft.com/office/drawing/2014/chart" uri="{C3380CC4-5D6E-409C-BE32-E72D297353CC}">
              <c16:uniqueId val="{00000001-38B9-4C8A-B1C6-0BBB9540EEA3}"/>
            </c:ext>
          </c:extLst>
        </c:ser>
        <c:ser>
          <c:idx val="2"/>
          <c:order val="2"/>
          <c:tx>
            <c:strRef>
              <c:f>Sheet1!$D$1</c:f>
              <c:strCache>
                <c:ptCount val="1"/>
                <c:pt idx="0">
                  <c:v>Asia</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Actual Delegate Distribution</c:v>
                </c:pt>
                <c:pt idx="1">
                  <c:v>Planned Meeting Distribution 2020</c:v>
                </c:pt>
                <c:pt idx="2">
                  <c:v>Rota 1 (1/3, 1/3)</c:v>
                </c:pt>
                <c:pt idx="3">
                  <c:v>Rota 2 (1/3, 1/4)</c:v>
                </c:pt>
              </c:strCache>
            </c:strRef>
          </c:cat>
          <c:val>
            <c:numRef>
              <c:f>Sheet1!$D$2:$D$5</c:f>
              <c:numCache>
                <c:formatCode>General</c:formatCode>
                <c:ptCount val="4"/>
                <c:pt idx="0">
                  <c:v>44</c:v>
                </c:pt>
                <c:pt idx="1">
                  <c:v>33.299999999999997</c:v>
                </c:pt>
                <c:pt idx="2">
                  <c:v>33.299999999999997</c:v>
                </c:pt>
                <c:pt idx="3">
                  <c:v>37.299999999999997</c:v>
                </c:pt>
              </c:numCache>
            </c:numRef>
          </c:val>
          <c:extLst>
            <c:ext xmlns:c16="http://schemas.microsoft.com/office/drawing/2014/chart" uri="{C3380CC4-5D6E-409C-BE32-E72D297353CC}">
              <c16:uniqueId val="{00000002-38B9-4C8A-B1C6-0BBB9540EEA3}"/>
            </c:ext>
          </c:extLst>
        </c:ser>
        <c:dLbls>
          <c:dLblPos val="ctr"/>
          <c:showLegendKey val="0"/>
          <c:showVal val="1"/>
          <c:showCatName val="0"/>
          <c:showSerName val="0"/>
          <c:showPercent val="0"/>
          <c:showBubbleSize val="0"/>
        </c:dLbls>
        <c:gapWidth val="79"/>
        <c:overlap val="100"/>
        <c:axId val="514340552"/>
        <c:axId val="514346456"/>
      </c:barChart>
      <c:catAx>
        <c:axId val="5143405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14346456"/>
        <c:crosses val="autoZero"/>
        <c:auto val="1"/>
        <c:lblAlgn val="ctr"/>
        <c:lblOffset val="100"/>
        <c:noMultiLvlLbl val="0"/>
      </c:catAx>
      <c:valAx>
        <c:axId val="514346456"/>
        <c:scaling>
          <c:orientation val="minMax"/>
        </c:scaling>
        <c:delete val="1"/>
        <c:axPos val="l"/>
        <c:numFmt formatCode="General" sourceLinked="1"/>
        <c:majorTickMark val="none"/>
        <c:minorTickMark val="none"/>
        <c:tickLblPos val="nextTo"/>
        <c:crossAx val="51434055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a:t>DELEGATE DISTRIBUTION</a:t>
            </a: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Sheet1!$B$6</c:f>
              <c:strCache>
                <c:ptCount val="1"/>
                <c:pt idx="0">
                  <c:v>NA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Sheet1!$A$7:$A$10</c:f>
              <c:strCache>
                <c:ptCount val="4"/>
                <c:pt idx="0">
                  <c:v>Actual Delegate Distribution</c:v>
                </c:pt>
                <c:pt idx="1">
                  <c:v>Planned Delegate Distribution 2020</c:v>
                </c:pt>
                <c:pt idx="2">
                  <c:v>Rota 1 Delegate Distribution</c:v>
                </c:pt>
                <c:pt idx="3">
                  <c:v>Rota 2 Delegate Distribution</c:v>
                </c:pt>
              </c:strCache>
            </c:strRef>
          </c:cat>
          <c:val>
            <c:numRef>
              <c:f>Sheet1!$B$7:$B$10</c:f>
              <c:numCache>
                <c:formatCode>General</c:formatCode>
                <c:ptCount val="4"/>
                <c:pt idx="0">
                  <c:v>21.7</c:v>
                </c:pt>
                <c:pt idx="1">
                  <c:v>20.7</c:v>
                </c:pt>
                <c:pt idx="2">
                  <c:v>33.299999999999997</c:v>
                </c:pt>
                <c:pt idx="3">
                  <c:v>30.9</c:v>
                </c:pt>
              </c:numCache>
            </c:numRef>
          </c:val>
          <c:extLst>
            <c:ext xmlns:c16="http://schemas.microsoft.com/office/drawing/2014/chart" uri="{C3380CC4-5D6E-409C-BE32-E72D297353CC}">
              <c16:uniqueId val="{00000000-CA2E-4434-BC87-5DE4B999AE31}"/>
            </c:ext>
          </c:extLst>
        </c:ser>
        <c:ser>
          <c:idx val="1"/>
          <c:order val="1"/>
          <c:tx>
            <c:strRef>
              <c:f>Sheet1!$C$6</c:f>
              <c:strCache>
                <c:ptCount val="1"/>
                <c:pt idx="0">
                  <c:v>EU</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Sheet1!$A$7:$A$10</c:f>
              <c:strCache>
                <c:ptCount val="4"/>
                <c:pt idx="0">
                  <c:v>Actual Delegate Distribution</c:v>
                </c:pt>
                <c:pt idx="1">
                  <c:v>Planned Delegate Distribution 2020</c:v>
                </c:pt>
                <c:pt idx="2">
                  <c:v>Rota 1 Delegate Distribution</c:v>
                </c:pt>
                <c:pt idx="3">
                  <c:v>Rota 2 Delegate Distribution</c:v>
                </c:pt>
              </c:strCache>
            </c:strRef>
          </c:cat>
          <c:val>
            <c:numRef>
              <c:f>Sheet1!$C$7:$C$10</c:f>
              <c:numCache>
                <c:formatCode>General</c:formatCode>
                <c:ptCount val="4"/>
                <c:pt idx="0">
                  <c:v>34.299999999999997</c:v>
                </c:pt>
                <c:pt idx="1">
                  <c:v>40.4</c:v>
                </c:pt>
                <c:pt idx="2">
                  <c:v>33.299999999999997</c:v>
                </c:pt>
                <c:pt idx="3">
                  <c:v>30.9</c:v>
                </c:pt>
              </c:numCache>
            </c:numRef>
          </c:val>
          <c:extLst>
            <c:ext xmlns:c16="http://schemas.microsoft.com/office/drawing/2014/chart" uri="{C3380CC4-5D6E-409C-BE32-E72D297353CC}">
              <c16:uniqueId val="{00000001-CA2E-4434-BC87-5DE4B999AE31}"/>
            </c:ext>
          </c:extLst>
        </c:ser>
        <c:ser>
          <c:idx val="2"/>
          <c:order val="2"/>
          <c:tx>
            <c:strRef>
              <c:f>Sheet1!$D$6</c:f>
              <c:strCache>
                <c:ptCount val="1"/>
                <c:pt idx="0">
                  <c:v>Asia</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Sheet1!$A$7:$A$10</c:f>
              <c:strCache>
                <c:ptCount val="4"/>
                <c:pt idx="0">
                  <c:v>Actual Delegate Distribution</c:v>
                </c:pt>
                <c:pt idx="1">
                  <c:v>Planned Delegate Distribution 2020</c:v>
                </c:pt>
                <c:pt idx="2">
                  <c:v>Rota 1 Delegate Distribution</c:v>
                </c:pt>
                <c:pt idx="3">
                  <c:v>Rota 2 Delegate Distribution</c:v>
                </c:pt>
              </c:strCache>
            </c:strRef>
          </c:cat>
          <c:val>
            <c:numRef>
              <c:f>Sheet1!$D$7:$D$10</c:f>
              <c:numCache>
                <c:formatCode>General</c:formatCode>
                <c:ptCount val="4"/>
                <c:pt idx="0">
                  <c:v>44</c:v>
                </c:pt>
                <c:pt idx="1">
                  <c:v>38.799999999999997</c:v>
                </c:pt>
                <c:pt idx="2">
                  <c:v>33.299999999999997</c:v>
                </c:pt>
                <c:pt idx="3">
                  <c:v>38.200000000000003</c:v>
                </c:pt>
              </c:numCache>
            </c:numRef>
          </c:val>
          <c:extLst>
            <c:ext xmlns:c16="http://schemas.microsoft.com/office/drawing/2014/chart" uri="{C3380CC4-5D6E-409C-BE32-E72D297353CC}">
              <c16:uniqueId val="{00000002-CA2E-4434-BC87-5DE4B999AE31}"/>
            </c:ext>
          </c:extLst>
        </c:ser>
        <c:dLbls>
          <c:dLblPos val="ctr"/>
          <c:showLegendKey val="0"/>
          <c:showVal val="1"/>
          <c:showCatName val="0"/>
          <c:showSerName val="0"/>
          <c:showPercent val="0"/>
          <c:showBubbleSize val="0"/>
        </c:dLbls>
        <c:gapWidth val="79"/>
        <c:overlap val="100"/>
        <c:axId val="514339240"/>
        <c:axId val="514342848"/>
      </c:barChart>
      <c:catAx>
        <c:axId val="5143392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14342848"/>
        <c:crosses val="autoZero"/>
        <c:auto val="1"/>
        <c:lblAlgn val="ctr"/>
        <c:lblOffset val="100"/>
        <c:noMultiLvlLbl val="0"/>
      </c:catAx>
      <c:valAx>
        <c:axId val="514342848"/>
        <c:scaling>
          <c:orientation val="minMax"/>
        </c:scaling>
        <c:delete val="1"/>
        <c:axPos val="l"/>
        <c:numFmt formatCode="General" sourceLinked="1"/>
        <c:majorTickMark val="none"/>
        <c:minorTickMark val="none"/>
        <c:tickLblPos val="nextTo"/>
        <c:crossAx val="51433924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Sheet1!$B$13</c:f>
              <c:strCache>
                <c:ptCount val="1"/>
                <c:pt idx="0">
                  <c:v>RMS Deviation from Actual Delegate Distribution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Sheet1!$A$14:$A$17</c:f>
              <c:strCache>
                <c:ptCount val="4"/>
                <c:pt idx="0">
                  <c:v>Actual Delegate Distribution</c:v>
                </c:pt>
                <c:pt idx="1">
                  <c:v>Planned Delegate Distribution 2020</c:v>
                </c:pt>
                <c:pt idx="2">
                  <c:v>Rota 1 Delegate Distribution</c:v>
                </c:pt>
                <c:pt idx="3">
                  <c:v>Rota 2 Delegate Distribution</c:v>
                </c:pt>
              </c:strCache>
            </c:strRef>
          </c:cat>
          <c:val>
            <c:numRef>
              <c:f>Sheet1!$B$14:$B$17</c:f>
              <c:numCache>
                <c:formatCode>General</c:formatCode>
                <c:ptCount val="4"/>
                <c:pt idx="0">
                  <c:v>0</c:v>
                </c:pt>
                <c:pt idx="1">
                  <c:v>8.08</c:v>
                </c:pt>
                <c:pt idx="2">
                  <c:v>15.81</c:v>
                </c:pt>
                <c:pt idx="3">
                  <c:v>11.39</c:v>
                </c:pt>
              </c:numCache>
            </c:numRef>
          </c:val>
          <c:extLst>
            <c:ext xmlns:c16="http://schemas.microsoft.com/office/drawing/2014/chart" uri="{C3380CC4-5D6E-409C-BE32-E72D297353CC}">
              <c16:uniqueId val="{00000000-2BA3-424B-93E6-6B6ED11B523C}"/>
            </c:ext>
          </c:extLst>
        </c:ser>
        <c:dLbls>
          <c:showLegendKey val="0"/>
          <c:showVal val="0"/>
          <c:showCatName val="0"/>
          <c:showSerName val="0"/>
          <c:showPercent val="0"/>
          <c:showBubbleSize val="0"/>
        </c:dLbls>
        <c:gapWidth val="219"/>
        <c:overlap val="-27"/>
        <c:axId val="882623712"/>
        <c:axId val="889004896"/>
      </c:barChart>
      <c:catAx>
        <c:axId val="882623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9004896"/>
        <c:crosses val="autoZero"/>
        <c:auto val="1"/>
        <c:lblAlgn val="ctr"/>
        <c:lblOffset val="100"/>
        <c:noMultiLvlLbl val="0"/>
      </c:catAx>
      <c:valAx>
        <c:axId val="889004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26237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0" ma:contentTypeDescription="Create a new document." ma:contentTypeScope="" ma:versionID="15f3376f38f357e45fb2e161684d7d8c">
  <xsd:schema xmlns:xsd="http://www.w3.org/2001/XMLSchema" xmlns:xs="http://www.w3.org/2001/XMLSchema" xmlns:p="http://schemas.microsoft.com/office/2006/metadata/properties" xmlns:ns3="f0c1c198-6772-4070-9fed-c99b54821fd3" targetNamespace="http://schemas.microsoft.com/office/2006/metadata/properties" ma:root="true" ma:fieldsID="ce94362b87f24fcc3c2dd63c5aa2715c" ns3:_="">
    <xsd:import namespace="f0c1c198-6772-4070-9fed-c99b54821f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3A30A6-3091-4CD4-9318-889726A643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69384A-AF0F-43D0-A1D8-F23CD0FD1B0D}">
  <ds:schemaRefs>
    <ds:schemaRef ds:uri="http://schemas.microsoft.com/sharepoint/v3/contenttype/forms"/>
  </ds:schemaRefs>
</ds:datastoreItem>
</file>

<file path=customXml/itemProps3.xml><?xml version="1.0" encoding="utf-8"?>
<ds:datastoreItem xmlns:ds="http://schemas.openxmlformats.org/officeDocument/2006/customXml" ds:itemID="{A50AED18-8A8A-4E52-9D4F-F09A88374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Stephen Hayes</cp:lastModifiedBy>
  <cp:revision>31</cp:revision>
  <dcterms:created xsi:type="dcterms:W3CDTF">2020-01-09T14:23:00Z</dcterms:created>
  <dcterms:modified xsi:type="dcterms:W3CDTF">2020-01-17T00:46:00Z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